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105.png" ContentType="image/png"/>
  <Override PartName="/word/media/rId21.png" ContentType="image/png"/>
  <Override PartName="/word/media/rId40.png" ContentType="image/png"/>
  <Override PartName="/word/media/rId68.png" ContentType="image/png"/>
  <Override PartName="/word/media/rId73.png" ContentType="image/png"/>
  <Override PartName="/word/media/rId63.png" ContentType="image/png"/>
  <Override PartName="/word/media/rId58.png" ContentType="image/png"/>
  <Override PartName="/word/media/rId85.png" ContentType="image/png"/>
  <Override PartName="/word/media/rId110.png" ContentType="image/png"/>
  <Override PartName="/word/media/rId27.png" ContentType="image/png"/>
  <Override PartName="/word/media/rId45.png" ContentType="image/png"/>
  <Override PartName="/word/media/rId32.png" ContentType="image/png"/>
  <Override PartName="/word/media/rId98.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2024-05-03</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to humanity, including carbon sequestration, oxygen production, protection against sea-level rise and coastline erosion, and mitigation of eutrophication</w:t>
      </w:r>
      <w:r>
        <w:t xml:space="preserve"> </w:t>
      </w:r>
      <w:r>
        <w:t xml:space="preserve">(Unsworth et al., 2022 ; Sousa et al., 2019)</w:t>
      </w:r>
      <w:r>
        <w:t xml:space="preserve">.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 ;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 Zoffoli et al., 2021 ; Sousa et al., 2019)</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 ; Sousa et al., 2019)</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w:t>
      </w:r>
    </w:p>
    <w:bookmarkEnd w:id="20"/>
    <w:bookmarkStart w:id="57"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syn.</w:t>
      </w:r>
      <w:r>
        <w:t xml:space="preserve"> </w:t>
      </w:r>
      <w:r>
        <w:rPr>
          <w:iCs/>
          <w:i/>
        </w:rPr>
        <w:t xml:space="preserve">Zostera noltei</w:t>
      </w:r>
      <w:r>
        <w:t xml:space="preserve">) with very little mixing with other macrophytes.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1831088" cy="128176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allowied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find tune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2ccca2c29f7d0af45381c3f812ac8970c72c3df"/>
    <w:p>
      <w:pPr>
        <w:pStyle w:val="Heading2"/>
      </w:pPr>
      <w:r>
        <w:t xml:space="preserve">2.6 Impact of the vegetation cover on the prediction</w:t>
      </w:r>
    </w:p>
    <w:p>
      <w:pPr>
        <w:pStyle w:val="FirstParagraph"/>
      </w:pPr>
      <w:r>
        <w:t xml:space="preserve">The key aspect of the workflow adopted in the present study is the mapping of specific areas at two different altitudes (12m and 120m), resulting in two distinct resolutions for the same area (8mm and 80mm). The predictions made on the high-resolution flight can be used to estimate the cover (percentage, %) of each vegetation class for every pixel of the lower resolution flight. Consequently, for each pixel of the high-altitude flights, the cover (%) of each vegetation class were obtained, and a kernel density plot was generated. This plot provides a visual representation of the behavior of the model in different vegetation percent cover scenarios.</w:t>
      </w:r>
    </w:p>
    <w:bookmarkEnd w:id="56"/>
    <w:bookmarkEnd w:id="57"/>
    <w:bookmarkStart w:id="104" w:name="results"/>
    <w:p>
      <w:pPr>
        <w:pStyle w:val="Heading1"/>
      </w:pPr>
      <w:r>
        <w:t xml:space="preserve">3. Results</w:t>
      </w:r>
    </w:p>
    <w:bookmarkStart w:id="78" w:name="classification"/>
    <w:p>
      <w:pPr>
        <w:pStyle w:val="Heading2"/>
      </w:pPr>
      <w:r>
        <w:t xml:space="preserve">3.1 Classification</w:t>
      </w:r>
    </w:p>
    <w:p>
      <w:pPr>
        <w:pStyle w:val="FirstParagraph"/>
      </w:pPr>
      <w:r>
        <w:t xml:space="preserve">Each drone flight was used to produce a prediction map, as well as a probability map that indicates the model derived likelihood of the selected class for every pixel. The low-altitude flight conducted in Gafanha, Portugal, represents the site with the highest complexity (</w:t>
      </w:r>
      <w:hyperlink w:anchor="fig-GafLow">
        <w:r>
          <w:rPr>
            <w:rStyle w:val="Hyperlink"/>
          </w:rPr>
          <w:t xml:space="preserve">Figure 4</w:t>
        </w:r>
      </w:hyperlink>
      <w:r>
        <w:t xml:space="preserve">). Among the five vegetation classes on which the model was trained, four were present on this site, with Chlorophyceae and Rhodophyceae mixed with the seagrass meadow. There was also Bacillariophyceae forming biofilms on parts of bare sediment surface. Although the seagrass bed was solely composed of</w:t>
      </w:r>
      <w:r>
        <w:t xml:space="preserve"> </w:t>
      </w:r>
      <w:r>
        <w:rPr>
          <w:iCs/>
          <w:i/>
        </w:rPr>
        <w:t xml:space="preserve">Nanozostera noltei</w:t>
      </w:r>
      <w:r>
        <w:t xml:space="preserve">, various colors of this specie could be observed from dark green (corresponding to healthy leaves) to whitish/brown (when leaves were discolored having lost their pigmentation). Regardless of color, Magnoliopsida pixels were accurately predicted by the model.</w:t>
      </w:r>
    </w:p>
    <w:bookmarkStart w:id="62" w:name="cell-fig-GafLow"/>
    <w:tbl>
      <w:tblPr>
        <w:tblStyle w:val="Table"/>
        <w:tblW w:type="pct" w:w="5000"/>
        <w:tblLook w:firstRow="0" w:lastRow="0" w:firstColumn="0" w:lastColumn="0" w:noHBand="0" w:noVBand="0" w:val="0000"/>
        <w:jc w:val="start"/>
        <w:tblLayout w:type="fixed"/>
      </w:tblPr>
      <w:tblGrid>
        <w:gridCol w:w="7920"/>
      </w:tblGrid>
      <w:tr>
        <w:tc>
          <w:tcPr/>
          <w:bookmarkStart w:id="61" w:name="fig-GafLow"/>
          <w:p>
            <w:pPr>
              <w:pStyle w:val="Compact"/>
              <w:jc w:val="center"/>
            </w:pPr>
            <w:r>
              <w:drawing>
                <wp:inline>
                  <wp:extent cx="5334000" cy="2803128"/>
                  <wp:effectExtent b="0" l="0" r="0" t="0"/>
                  <wp:docPr descr="" title="" id="59" name="Picture"/>
                  <a:graphic>
                    <a:graphicData uri="http://schemas.openxmlformats.org/drawingml/2006/picture">
                      <pic:pic>
                        <pic:nvPicPr>
                          <pic:cNvPr descr="./Figures/Low_res/Maps%20Pred/FigX-Gaf_Low_Pred.png" id="60" name="Picture"/>
                          <pic:cNvPicPr>
                            <a:picLocks noChangeArrowheads="1" noChangeAspect="1"/>
                          </pic:cNvPicPr>
                        </pic:nvPicPr>
                        <pic:blipFill>
                          <a:blip r:embed="rId58"/>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1"/>
        </w:tc>
      </w:tr>
    </w:tbl>
    <w:bookmarkEnd w:id="62"/>
    <w:p>
      <w:pPr>
        <w:pStyle w:val="BodyText"/>
      </w:pPr>
      <w:r>
        <w:t xml:space="preserve">The high-altitude flight over Gafanha covered a total area of ~1 km² (</w:t>
      </w:r>
      <w:hyperlink w:anchor="fig-GafHigh">
        <w:r>
          <w:rPr>
            <w:rStyle w:val="Hyperlink"/>
          </w:rPr>
          <w:t xml:space="preserve">Figure 5</w:t>
        </w:r>
      </w:hyperlink>
      <w:r>
        <w:t xml:space="preserve">). A channel contouring a small island was masked in the prediction map. Most of the intertidal area was classified as Magnoliopsida by the model, including seagrass patches with discolored leaves. Only a few pixels were classified as Chlorophyceae at this spatial scale. Furthermore, the area that was classified as Bacillariophyceae in the low-altitude flight remained mostly classified as such in the high-altitude flight, though some pixels were classified as Magnoliopsida. Patches of Rhodophyceae were correctly classified. In the northern part of the site and near the land eadges, patches of the schorre angiosperm</w:t>
      </w:r>
      <w:r>
        <w:t xml:space="preserve"> </w:t>
      </w:r>
      <w:r>
        <w:rPr>
          <w:iCs/>
          <w:i/>
        </w:rPr>
        <w:t xml:space="preserve">Sporobolus maritimus</w:t>
      </w:r>
      <w:r>
        <w:t xml:space="preserve"> </w:t>
      </w:r>
      <w:r>
        <w:t xml:space="preserve">(syn.</w:t>
      </w:r>
      <w:r>
        <w:t xml:space="preserve"> </w:t>
      </w:r>
      <w:r>
        <w:rPr>
          <w:iCs/>
          <w:i/>
        </w:rPr>
        <w:t xml:space="preserve">Spartina maritima)</w:t>
      </w:r>
      <w:r>
        <w:t xml:space="preserve"> </w:t>
      </w:r>
      <w:r>
        <w:t xml:space="preserve">were misclassified, either as Magnoliopsida or as Phaeophyceae.</w:t>
      </w:r>
    </w:p>
    <w:bookmarkStart w:id="67" w:name="cell-fig-GafHigh"/>
    <w:tbl>
      <w:tblPr>
        <w:tblStyle w:val="Table"/>
        <w:tblW w:type="pct" w:w="5000"/>
        <w:tblLook w:firstRow="0" w:lastRow="0" w:firstColumn="0" w:lastColumn="0" w:noHBand="0" w:noVBand="0" w:val="0000"/>
        <w:jc w:val="start"/>
        <w:tblLayout w:type="fixed"/>
      </w:tblPr>
      <w:tblGrid>
        <w:gridCol w:w="7920"/>
      </w:tblGrid>
      <w:tr>
        <w:tc>
          <w:tcPr/>
          <w:bookmarkStart w:id="66" w:name="fig-GafHigh"/>
          <w:p>
            <w:pPr>
              <w:pStyle w:val="Compact"/>
              <w:jc w:val="center"/>
            </w:pPr>
            <w:r>
              <w:drawing>
                <wp:inline>
                  <wp:extent cx="3899197" cy="3333431"/>
                  <wp:effectExtent b="0" l="0" r="0" t="0"/>
                  <wp:docPr descr="" title="" id="64" name="Picture"/>
                  <a:graphic>
                    <a:graphicData uri="http://schemas.openxmlformats.org/drawingml/2006/picture">
                      <pic:pic>
                        <pic:nvPicPr>
                          <pic:cNvPr descr="./Figures/Low_res/Maps%20Pred/FigX-Gaf_High_Pred.png" id="65" name="Picture"/>
                          <pic:cNvPicPr>
                            <a:picLocks noChangeArrowheads="1" noChangeAspect="1"/>
                          </pic:cNvPicPr>
                        </pic:nvPicPr>
                        <pic:blipFill>
                          <a:blip r:embed="rId63"/>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4</w:t>
              </w:r>
            </w:hyperlink>
            <w:r>
              <w:t xml:space="preserve">. The zoom covers an area equivalent to a 10-meter Sentinel-2 pixel size.</w:t>
            </w:r>
          </w:p>
          <w:bookmarkEnd w:id="66"/>
        </w:tc>
      </w:tr>
    </w:tbl>
    <w:bookmarkEnd w:id="67"/>
    <w:p>
      <w:pPr>
        <w:pStyle w:val="BodyText"/>
      </w:pPr>
      <w:r>
        <w:t xml:space="preserve">Amoung the high altitude flights, the one acquired over the inner part of Ria de Aveiro coastal lagoon covered the largest area with approximately 1.5 km² (</w:t>
      </w:r>
      <w:hyperlink w:anchor="fig-Boat">
        <w:r>
          <w:rPr>
            <w:rStyle w:val="Hyperlink"/>
          </w:rPr>
          <w:t xml:space="preserve">Figure 6</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6</w:t>
        </w:r>
      </w:hyperlink>
      <w:r>
        <w:t xml:space="preserve">), the edges of the meadow visually appears to be colonised by green macroalgae (</w:t>
      </w:r>
      <w:r>
        <w:rPr>
          <w:iCs/>
          <w:i/>
        </w:rPr>
        <w:t xml:space="preserve">Ulva sp.</w:t>
      </w:r>
      <w:r>
        <w:t xml:space="preserve">), which the model agreed with.</w:t>
      </w:r>
    </w:p>
    <w:bookmarkStart w:id="72" w:name="cell-fig-Boat"/>
    <w:tbl>
      <w:tblPr>
        <w:tblStyle w:val="Table"/>
        <w:tblW w:type="pct" w:w="5000"/>
        <w:tblLook w:firstRow="0" w:lastRow="0" w:firstColumn="0" w:lastColumn="0" w:noHBand="0" w:noVBand="0" w:val="0000"/>
        <w:jc w:val="start"/>
        <w:tblLayout w:type="fixed"/>
      </w:tblPr>
      <w:tblGrid>
        <w:gridCol w:w="7920"/>
      </w:tblGrid>
      <w:tr>
        <w:tc>
          <w:tcPr/>
          <w:bookmarkStart w:id="71" w:name="fig-Boat"/>
          <w:p>
            <w:pPr>
              <w:pStyle w:val="Compact"/>
              <w:jc w:val="center"/>
            </w:pPr>
            <w:r>
              <w:drawing>
                <wp:inline>
                  <wp:extent cx="2587232" cy="3425177"/>
                  <wp:effectExtent b="0" l="0" r="0" t="0"/>
                  <wp:docPr descr="" title="" id="69" name="Picture"/>
                  <a:graphic>
                    <a:graphicData uri="http://schemas.openxmlformats.org/drawingml/2006/picture">
                      <pic:pic>
                        <pic:nvPicPr>
                          <pic:cNvPr descr="./Figures/Low_res/Maps%20Pred/FigX-Boat_Pred.png" id="70" name="Picture"/>
                          <pic:cNvPicPr>
                            <a:picLocks noChangeArrowheads="1" noChangeAspect="1"/>
                          </pic:cNvPicPr>
                        </pic:nvPicPr>
                        <pic:blipFill>
                          <a:blip r:embed="rId68"/>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1"/>
        </w:tc>
      </w:tr>
    </w:tbl>
    <w:bookmarkEnd w:id="72"/>
    <w:p>
      <w:pPr>
        <w:pStyle w:val="BodyText"/>
      </w:pPr>
      <w:r>
        <w:t xml:space="preserve">The flight over L’Epine in Noirmoutier Island, France (</w:t>
      </w:r>
      <w:hyperlink w:anchor="fig-Dike">
        <w:r>
          <w:rPr>
            <w:rStyle w:val="Hyperlink"/>
          </w:rPr>
          <w:t xml:space="preserve">Figure 7</w:t>
        </w:r>
      </w:hyperlink>
      <w:r>
        <w:t xml:space="preserve">) was conducted near a dike, which crossed the northern part of the site from west to east. Alongside this dike, Fucale brown 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Despite the high mixture between Chlorophyceae and Magnoliopsida these two classes were correctly discriminated by the classifier.</w:t>
      </w:r>
    </w:p>
    <w:bookmarkStart w:id="77" w:name="cell-fig-Dike"/>
    <w:tbl>
      <w:tblPr>
        <w:tblStyle w:val="Table"/>
        <w:tblW w:type="pct" w:w="5000"/>
        <w:tblLook w:firstRow="0" w:lastRow="0" w:firstColumn="0" w:lastColumn="0" w:noHBand="0" w:noVBand="0" w:val="0000"/>
        <w:jc w:val="start"/>
        <w:tblLayout w:type="fixed"/>
      </w:tblPr>
      <w:tblGrid>
        <w:gridCol w:w="7920"/>
      </w:tblGrid>
      <w:tr>
        <w:tc>
          <w:tcPr/>
          <w:bookmarkStart w:id="76" w:name="fig-Dike"/>
          <w:p>
            <w:pPr>
              <w:pStyle w:val="Compact"/>
              <w:jc w:val="center"/>
            </w:pPr>
            <w:r>
              <w:drawing>
                <wp:inline>
                  <wp:extent cx="3293674" cy="2752374"/>
                  <wp:effectExtent b="0" l="0" r="0" t="0"/>
                  <wp:docPr descr="" title="" id="74" name="Picture"/>
                  <a:graphic>
                    <a:graphicData uri="http://schemas.openxmlformats.org/drawingml/2006/picture">
                      <pic:pic>
                        <pic:nvPicPr>
                          <pic:cNvPr descr="./Figures/Low_res/Maps%20Pred/FigX-Dike_Pred.png" id="75" name="Picture"/>
                          <pic:cNvPicPr>
                            <a:picLocks noChangeArrowheads="1" noChangeAspect="1"/>
                          </pic:cNvPicPr>
                        </pic:nvPicPr>
                        <pic:blipFill>
                          <a:blip r:embed="rId73"/>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76"/>
        </w:tc>
      </w:tr>
    </w:tbl>
    <w:bookmarkEnd w:id="77"/>
    <w:bookmarkEnd w:id="78"/>
    <w:bookmarkStart w:id="91" w:name="validation-1"/>
    <w:p>
      <w:pPr>
        <w:pStyle w:val="Heading2"/>
      </w:pPr>
      <w:r>
        <w:t xml:space="preserve">3.2 Validation</w:t>
      </w:r>
    </w:p>
    <w:bookmarkStart w:id="84" w:name="Xf1ee785dcb5d546ca07f6c913dc8f3105a0e5cf"/>
    <w:p>
      <w:pPr>
        <w:pStyle w:val="Heading3"/>
      </w:pPr>
      <w:r>
        <w:t xml:space="preserve">3.2.1 Reflectance comparison between the two different altitudes</w:t>
      </w:r>
    </w:p>
    <w:p>
      <w:pPr>
        <w:pStyle w:val="FirstParagraph"/>
      </w:pPr>
      <w:r>
        <w:t xml:space="preserve">In this study, a key innovation lies in the utilization of drone flights at two different altitudes (12 m and 120 m) for constructing the neural network model. Overall there was a good agreement between the two altitudes (</w:t>
      </w:r>
      <w:hyperlink w:anchor="fig-CompareRef">
        <w:r>
          <w:rPr>
            <w:rStyle w:val="Hyperlink"/>
          </w:rPr>
          <w:t xml:space="preserve">Figure 8</w:t>
        </w:r>
      </w:hyperlink>
      <w:r>
        <w:t xml:space="preserve">).</w:t>
      </w:r>
    </w:p>
    <w:bookmarkStart w:id="83" w:name="cell-fig-CompareRef"/>
    <w:tbl>
      <w:tblPr>
        <w:tblStyle w:val="Table"/>
        <w:tblW w:type="pct" w:w="5000"/>
        <w:tblLook w:firstRow="0" w:lastRow="0" w:firstColumn="0" w:lastColumn="0" w:noHBand="0" w:noVBand="0" w:val="0000"/>
        <w:jc w:val="start"/>
        <w:tblLayout w:type="fixed"/>
      </w:tblPr>
      <w:tblGrid>
        <w:gridCol w:w="7920"/>
      </w:tblGrid>
      <w:tr>
        <w:tc>
          <w:tcPr/>
          <w:bookmarkStart w:id="82" w:name="fig-CompareRef"/>
          <w:p>
            <w:pPr>
              <w:pStyle w:val="Compact"/>
              <w:jc w:val="center"/>
            </w:pPr>
            <w:r>
              <w:drawing>
                <wp:inline>
                  <wp:extent cx="5334000" cy="2290564"/>
                  <wp:effectExtent b="0" l="0" r="0" t="0"/>
                  <wp:docPr descr="" title="" id="80" name="Picture"/>
                  <a:graphic>
                    <a:graphicData uri="http://schemas.openxmlformats.org/drawingml/2006/picture">
                      <pic:pic>
                        <pic:nvPicPr>
                          <pic:cNvPr descr="./Figures/High_res/Compare_reflectance_both.png" id="81" name="Picture"/>
                          <pic:cNvPicPr>
                            <a:picLocks noChangeArrowheads="1" noChangeAspect="1"/>
                          </pic:cNvPicPr>
                        </pic:nvPicPr>
                        <pic:blipFill>
                          <a:blip r:embed="rId79"/>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82"/>
        </w:tc>
      </w:tr>
    </w:tbl>
    <w:bookmarkEnd w:id="83"/>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8</w:t>
        </w:r>
      </w:hyperlink>
      <w:r>
        <w:t xml:space="preserve"> </w:t>
      </w:r>
      <w:r>
        <w:t xml:space="preserve">A). Since both flights were conducted over vegetation areas, the highest reflectance values correspond to the infrared part of the spectrum. This difference is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8</w:t>
        </w:r>
      </w:hyperlink>
      <w:r>
        <w:t xml:space="preserve"> </w:t>
      </w:r>
      <w:r>
        <w:t xml:space="preserve">B).</w:t>
      </w:r>
    </w:p>
    <w:bookmarkEnd w:id="84"/>
    <w:bookmarkStart w:id="90" w:name="neural-network-classification-validation"/>
    <w:p>
      <w:pPr>
        <w:pStyle w:val="Heading3"/>
      </w:pPr>
      <w:r>
        <w:t xml:space="preserve">3.2.2 Neural network classification validation</w:t>
      </w:r>
    </w:p>
    <w:p>
      <w:pPr>
        <w:pStyle w:val="FirstParagraph"/>
      </w:pPr>
      <w:r>
        <w:t xml:space="preserve">Model global accuracy was 94.26% with a Kappa coefficient of 0.92 (</w:t>
      </w:r>
      <w:hyperlink w:anchor="fig-Validation">
        <w:r>
          <w:rPr>
            <w:rStyle w:val="Hyperlink"/>
          </w:rPr>
          <w:t xml:space="preserve">Figure 9</w:t>
        </w:r>
      </w:hyperlink>
      <w:r>
        <w:t xml:space="preserve">).</w:t>
      </w:r>
    </w:p>
    <w:bookmarkStart w:id="89" w:name="cell-fig-Validation"/>
    <w:tbl>
      <w:tblPr>
        <w:tblStyle w:val="Table"/>
        <w:tblW w:type="pct" w:w="5000"/>
        <w:tblLook w:firstRow="0" w:lastRow="0" w:firstColumn="0" w:lastColumn="0" w:noHBand="0" w:noVBand="0" w:val="0000"/>
        <w:jc w:val="start"/>
        <w:tblLayout w:type="fixed"/>
      </w:tblPr>
      <w:tblGrid>
        <w:gridCol w:w="7920"/>
      </w:tblGrid>
      <w:tr>
        <w:tc>
          <w:tcPr/>
          <w:bookmarkStart w:id="88" w:name="fig-Validation"/>
          <w:p>
            <w:pPr>
              <w:pStyle w:val="Compact"/>
              <w:jc w:val="center"/>
            </w:pPr>
            <w:r>
              <w:drawing>
                <wp:inline>
                  <wp:extent cx="4339577" cy="3003146"/>
                  <wp:effectExtent b="0" l="0" r="0" t="0"/>
                  <wp:docPr descr="" title="" id="86" name="Picture"/>
                  <a:graphic>
                    <a:graphicData uri="http://schemas.openxmlformats.org/drawingml/2006/picture">
                      <pic:pic>
                        <pic:nvPicPr>
                          <pic:cNvPr descr="./Figures/Low_res/Validation/ConfusionMatrixGlobal.png" id="87" name="Picture"/>
                          <pic:cNvPicPr>
                            <a:picLocks noChangeArrowheads="1" noChangeAspect="1"/>
                          </pic:cNvPicPr>
                        </pic:nvPicPr>
                        <pic:blipFill>
                          <a:blip r:embed="rId85"/>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8"/>
        </w:tc>
      </w:tr>
    </w:tbl>
    <w:bookmarkEnd w:id="89"/>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0"/>
    <w:bookmarkEnd w:id="91"/>
    <w:bookmarkStart w:id="97" w:name="variable-importance-1"/>
    <w:p>
      <w:pPr>
        <w:pStyle w:val="Heading2"/>
      </w:pPr>
      <w:r>
        <w:t xml:space="preserve">3.3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6" w:name="cell-fig-VIP"/>
    <w:tbl>
      <w:tblPr>
        <w:tblStyle w:val="Table"/>
        <w:tblW w:type="pct" w:w="5000"/>
        <w:tblLook w:firstRow="0" w:lastRow="0" w:firstColumn="0" w:lastColumn="0" w:noHBand="0" w:noVBand="0" w:val="0000"/>
        <w:jc w:val="start"/>
        <w:tblLayout w:type="fixed"/>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7d8c98344fb9b0b2820ed333ea1419091199e0e"/>
    <w:p>
      <w:pPr>
        <w:pStyle w:val="Heading2"/>
      </w:pPr>
      <w:r>
        <w:t xml:space="preserve">3.4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w:t>
      </w:r>
      <w:hyperlink w:anchor="fig-upscaling">
        <w:r>
          <w:rPr>
            <w:rStyle w:val="Hyperlink"/>
          </w:rPr>
          <w:t xml:space="preserve">Figure 11</w:t>
        </w:r>
      </w:hyperlink>
      <w:r>
        <w:t xml:space="preserve">).</w:t>
      </w:r>
    </w:p>
    <w:bookmarkStart w:id="102" w:name="cell-fig-upscaling"/>
    <w:tbl>
      <w:tblPr>
        <w:tblStyle w:val="Table"/>
        <w:tblW w:type="pct" w:w="5000"/>
        <w:tblLook w:firstRow="0" w:lastRow="0" w:firstColumn="0" w:lastColumn="0" w:noHBand="0" w:noVBand="0" w:val="0000"/>
        <w:jc w:val="start"/>
        <w:tblLayout w:type="fixed"/>
      </w:tblPr>
      <w:tblGrid>
        <w:gridCol w:w="7920"/>
      </w:tblGrid>
      <w:tr>
        <w:tc>
          <w:tcPr/>
          <w:bookmarkStart w:id="101" w:name="fig-upscaling"/>
          <w:p>
            <w:pPr>
              <w:pStyle w:val="Compact"/>
              <w:jc w:val="center"/>
            </w:pPr>
            <w:r>
              <w:drawing>
                <wp:inline>
                  <wp:extent cx="4800600" cy="6443062"/>
                  <wp:effectExtent b="0" l="0" r="0" t="0"/>
                  <wp:docPr descr="" title="" id="99" name="Picture"/>
                  <a:graphic>
                    <a:graphicData uri="http://schemas.openxmlformats.org/drawingml/2006/picture">
                      <pic:pic>
                        <pic:nvPicPr>
                          <pic:cNvPr descr="Figures/Low_res/Upscaling/density_vs_Proportion.png" id="100" name="Picture"/>
                          <pic:cNvPicPr>
                            <a:picLocks noChangeArrowheads="1" noChangeAspect="1"/>
                          </pic:cNvPicPr>
                        </pic:nvPicPr>
                        <pic:blipFill>
                          <a:blip r:embed="rId9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1"/>
        </w:tc>
      </w:tr>
    </w:tbl>
    <w:bookmarkEnd w:id="102"/>
    <w:p>
      <w:pPr>
        <w:pStyle w:val="BodyText"/>
      </w:pP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 A percent cover of at least 80% was sufficient to have all the pixels of high altitude flights correctly classified, with the exception of Magnoliopsida that required a higher cover (&gt;90 %) to be well classified. Concerning the probability of each class, the highest percent cover was needed to confidently predict Bacillariophyceae. To predict Chlorophyceae with a model likelihood of 0.85, a cover of 93 % was needed, 90 % for Magnoliopsida, 92 % for Rhodophyceae and 97 % for Bacillariophyceae.</w:t>
      </w:r>
    </w:p>
    <w:bookmarkEnd w:id="103"/>
    <w:bookmarkEnd w:id="104"/>
    <w:bookmarkStart w:id="118" w:name="discussion"/>
    <w:p>
      <w:pPr>
        <w:pStyle w:val="Heading1"/>
      </w:pPr>
      <w:r>
        <w:t xml:space="preserve">4. Discussion</w:t>
      </w:r>
    </w:p>
    <w:bookmarkStart w:id="115"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on intertidal mudflats and sandflats, specifically focusing on distinguishing between Chlorophyceae (green macroalgae) and marine Magnoliopsida (seagrasses) using multispectral drone data. 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The discrimination of seagrasses from green macroalgae presents two main challenges</w:t>
      </w:r>
      <w:r>
        <w:t xml:space="preserve"> </w:t>
      </w:r>
      <w:r>
        <w:t xml:space="preserve">(Oiry and Barillé, 2021 ; Bannari et al., 2022 ; Veettil et al., 2020)</w:t>
      </w:r>
      <w:r>
        <w:t xml:space="preserve">. First these two macrophytes have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12</w:t>
        </w:r>
      </w:hyperlink>
      <w:r>
        <w:t xml:space="preserve">). Second, seagrass and green macroalgae frequently co-occur in intertidal areas, and can intermingle within a remote sensing pixel if the spatial resolution is too low. Here, the issue of intra-pixel mixing was resolved thanks to the very high spatial resolution of the drone, and the risk of spectral confusion was avoided thanks to the efficiency of the multispectral classifier. Our results confirm a recent study based on</w:t>
      </w:r>
      <w:r>
        <w:t xml:space="preserve"> </w:t>
      </w:r>
      <w:r>
        <w:rPr>
          <w:iCs/>
          <w:i/>
        </w:rPr>
        <w:t xml:space="preserve">in situ</w:t>
      </w:r>
      <w:r>
        <w:t xml:space="preserve"> </w:t>
      </w:r>
      <w:r>
        <w:t xml:space="preserve">radiometry, where it was demonstrated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09" w:name="cell-fig-Pigm"/>
    <w:tbl>
      <w:tblPr>
        <w:tblStyle w:val="Table"/>
        <w:tblW w:type="pct" w:w="5000"/>
        <w:tblLook w:firstRow="0" w:lastRow="0" w:firstColumn="0" w:lastColumn="0" w:noHBand="0" w:noVBand="0" w:val="0000"/>
        <w:jc w:val="start"/>
        <w:tblLayout w:type="fixed"/>
      </w:tblPr>
      <w:tblGrid>
        <w:gridCol w:w="7920"/>
      </w:tblGrid>
      <w:tr>
        <w:tc>
          <w:tcPr/>
          <w:bookmarkStart w:id="108" w:name="fig-Pigm"/>
          <w:p>
            <w:pPr>
              <w:pStyle w:val="Compact"/>
              <w:jc w:val="center"/>
            </w:pPr>
            <w:r>
              <w:drawing>
                <wp:inline>
                  <wp:extent cx="5334000" cy="2473274"/>
                  <wp:effectExtent b="0" l="0" r="0" t="0"/>
                  <wp:docPr descr="" title="" id="106" name="Picture"/>
                  <a:graphic>
                    <a:graphicData uri="http://schemas.openxmlformats.org/drawingml/2006/picture">
                      <pic:pic>
                        <pic:nvPicPr>
                          <pic:cNvPr descr="./Figures/Low_res/Disc_Pigment_Table.png" id="107" name="Picture"/>
                          <pic:cNvPicPr>
                            <a:picLocks noChangeArrowheads="1" noChangeAspect="1"/>
                          </pic:cNvPicPr>
                        </pic:nvPicPr>
                        <pic:blipFill>
                          <a:blip r:embed="rId105"/>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08"/>
        </w:tc>
      </w:tr>
    </w:tbl>
    <w:bookmarkEnd w:id="109"/>
    <w:bookmarkStart w:id="114" w:name="cell-fig-ValidationGreen"/>
    <w:tbl>
      <w:tblPr>
        <w:tblStyle w:val="Table"/>
        <w:tblW w:type="pct" w:w="5000"/>
        <w:tblLook w:firstRow="0" w:lastRow="0" w:firstColumn="0" w:lastColumn="0" w:noHBand="0" w:noVBand="0" w:val="0000"/>
        <w:jc w:val="start"/>
        <w:tblLayout w:type="fixed"/>
      </w:tblPr>
      <w:tblGrid>
        <w:gridCol w:w="7920"/>
      </w:tblGrid>
      <w:tr>
        <w:tc>
          <w:tcPr/>
          <w:bookmarkStart w:id="113" w:name="fig-ValidationGreen"/>
          <w:p>
            <w:pPr>
              <w:pStyle w:val="Compact"/>
              <w:jc w:val="center"/>
            </w:pPr>
            <w:r>
              <w:drawing>
                <wp:inline>
                  <wp:extent cx="2709559" cy="1932778"/>
                  <wp:effectExtent b="0" l="0" r="0" t="0"/>
                  <wp:docPr descr="" title="" id="111" name="Picture"/>
                  <a:graphic>
                    <a:graphicData uri="http://schemas.openxmlformats.org/drawingml/2006/picture">
                      <pic:pic>
                        <pic:nvPicPr>
                          <pic:cNvPr descr="./Figures/Low_res/Validation/ConfusionMatrixGreen.png" id="112" name="Picture"/>
                          <pic:cNvPicPr>
                            <a:picLocks noChangeArrowheads="1" noChangeAspect="1"/>
                          </pic:cNvPicPr>
                        </pic:nvPicPr>
                        <pic:blipFill>
                          <a:blip r:embed="rId11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13"/>
        </w:tc>
      </w:tr>
    </w:tbl>
    <w:bookmarkEnd w:id="114"/>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13</w:t>
        </w:r>
      </w:hyperlink>
      <w:r>
        <w:t xml:space="preserve">). Even if the pigment composition of green macrophytes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over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w:t>
      </w:r>
    </w:p>
    <w:p>
      <w:pPr>
        <w:pStyle w:val="BodyText"/>
      </w:pPr>
      <w:r>
        <w:t xml:space="preserve">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12</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VIP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microphytobenthos biofilms compared to seagrass and macroalgae.</w:t>
      </w:r>
    </w:p>
    <w:bookmarkEnd w:id="115"/>
    <w:bookmarkStart w:id="116" w:name="X56bbf18dfbac1929b10d45740eeb232309054c0"/>
    <w:p>
      <w:pPr>
        <w:pStyle w:val="Heading2"/>
      </w:pPr>
      <w:r>
        <w:t xml:space="preserve">4.2 Altitude and Temporal Effects on Vegetation Prediction Accuracy</w:t>
      </w:r>
    </w:p>
    <w:p>
      <w:pPr>
        <w:pStyle w:val="FirstParagraph"/>
      </w:pPr>
      <w:r>
        <w:t xml:space="preserve">While comparing the reflectance of both altitudes (12 m and 120 m), it was observed that there is an underestimation of the infrared part of the spectra in the high-altitude dataset (</w:t>
      </w:r>
      <w:hyperlink w:anchor="fig-CompareRef">
        <w:r>
          <w:rPr>
            <w:rStyle w:val="Hyperlink"/>
          </w:rPr>
          <w:t xml:space="preserve">Figure 8</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8</w:t>
        </w:r>
      </w:hyperlink>
      <w:r>
        <w:t xml:space="preserve"> </w:t>
      </w:r>
      <w:r>
        <w:t xml:space="preserve">B) and to focus on the shape of the spectra in the visible part of the electromagnetic spectra, where different pigmentation are associated to taxonomic dignostic features. This was a key feature in building a model that could reliably predict vegetation across geographical sites and seasons. It enabled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We found 90 % of seagrass cover is necessary for confident prediction of its presence (</w:t>
      </w:r>
      <w:hyperlink w:anchor="fig-upscaling">
        <w:r>
          <w:rPr>
            <w:rStyle w:val="Hyperlink"/>
          </w:rPr>
          <w:t xml:space="preserve">Figure 11</w:t>
        </w:r>
      </w:hyperlink>
      <w:r>
        <w:t xml:space="preserve">). This highlights a limitation of the methodology used to construct the training dataset for the model. The dataset used to train our algorithm was composed exclusively of pure pixels, which resulted in the model’s reduced confidence when faced with lower percentages of seagrass cover. Also, intertidal seagrasses exhibit marked phenology, with varying pigment composition throughout the year</w:t>
      </w:r>
      <w:r>
        <w:t xml:space="preserve"> </w:t>
      </w:r>
      <w:r>
        <w:t xml:space="preserve">(Bargain et al., 2013 ; Légaré et al., 2022)</w:t>
      </w:r>
      <w:r>
        <w:t xml:space="preserve">. Since the training dataset has been made using well established seagrass meadows, this model may be less accurate outside of the seasonal seagrass peak of biomass. Further investigation is required to evaluate the accuracy of the method along different periods of the year.</w:t>
      </w:r>
    </w:p>
    <w:bookmarkEnd w:id="116"/>
    <w:bookmarkStart w:id="117" w:name="X358d9a53b4ed72181dfc2d93c4ce60c8d17bbcb"/>
    <w:p>
      <w:pPr>
        <w:pStyle w:val="Heading2"/>
      </w:pPr>
      <w:r>
        <w:t xml:space="preserve">4.3 Towards climate and biodiversity applications</w:t>
      </w:r>
    </w:p>
    <w:p>
      <w:pPr>
        <w:pStyle w:val="FirstParagraph"/>
      </w:pPr>
      <w:r>
        <w:t xml:space="preserve">Climate change, global warming, eutrophication, alien and invasive species development, coastal erosion, and sealevel rise are expected to continue impacting coastal ecosystems in the future</w:t>
      </w:r>
      <w:r>
        <w:t xml:space="preserve"> </w:t>
      </w:r>
      <w:r>
        <w:t xml:space="preserve">(Holon et al., 2018 ; Marquet et al., 2024; Schibalski et al., 2022)</w:t>
      </w:r>
      <w:r>
        <w:t xml:space="preserve">. 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w:t>
      </w:r>
    </w:p>
    <w:p>
      <w:pPr>
        <w:pStyle w:val="BodyText"/>
      </w:pPr>
      <w:r>
        <w:t xml:space="preserve">Employing traditional sampling methods to monitor coastal ecosystems is time and resource-intensive, and the findings are often difficult to scale-up.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satellite data.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17"/>
    <w:bookmarkEnd w:id="118"/>
    <w:bookmarkStart w:id="216"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15" w:name="refs"/>
    <w:bookmarkStart w:id="119" w:name="ref-adade2021"/>
    <w:p>
      <w:pPr>
        <w:pStyle w:val="Bibliography"/>
      </w:pPr>
      <w:r>
        <w:t xml:space="preserve">Adade, R., Aibinu, A.M., Ekumah, B., Asaana, J., 2021. Unmanned aerial vehicle (UAV) applications in coastal zone management—a review. Environmental Monitoring and Assessment 193, 1–12.</w:t>
      </w:r>
    </w:p>
    <w:bookmarkEnd w:id="119"/>
    <w:bookmarkStart w:id="121" w:name="ref-agisoft"/>
    <w:p>
      <w:pPr>
        <w:pStyle w:val="Bibliography"/>
      </w:pPr>
      <w:r>
        <w:t xml:space="preserve">Agisoft, 2019.</w:t>
      </w:r>
      <w:r>
        <w:t xml:space="preserve"> </w:t>
      </w:r>
      <w:hyperlink r:id="rId120">
        <w:r>
          <w:rPr>
            <w:rStyle w:val="Hyperlink"/>
          </w:rPr>
          <w:t xml:space="preserve">Agisoft metashape</w:t>
        </w:r>
      </w:hyperlink>
      <w:r>
        <w:t xml:space="preserve">.</w:t>
      </w:r>
    </w:p>
    <w:bookmarkEnd w:id="121"/>
    <w:bookmarkStart w:id="122"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2"/>
    <w:bookmarkStart w:id="123"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23"/>
    <w:bookmarkStart w:id="124"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24"/>
    <w:bookmarkStart w:id="125" w:name="ref-beach1997vivo"/>
    <w:p>
      <w:pPr>
        <w:pStyle w:val="Bibliography"/>
      </w:pPr>
      <w:r>
        <w:t xml:space="preserve">Beach, K., Borgeas, H., Nishimura, N., Smith, C., 1997. In vivo absorbance spectra and the ecophysiology of reef macroalgae. Coral Reefs 16, 21–28.</w:t>
      </w:r>
    </w:p>
    <w:bookmarkEnd w:id="125"/>
    <w:bookmarkStart w:id="127"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26">
        <w:r>
          <w:rPr>
            <w:rStyle w:val="Hyperlink"/>
          </w:rPr>
          <w:t xml:space="preserve">https://doi.org/10.3390/RS14020307</w:t>
        </w:r>
      </w:hyperlink>
    </w:p>
    <w:bookmarkEnd w:id="127"/>
    <w:bookmarkStart w:id="129"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28">
        <w:r>
          <w:rPr>
            <w:rStyle w:val="Hyperlink"/>
          </w:rPr>
          <w:t xml:space="preserve">https://doi.org/10.1139/cjfas-2016-0137</w:t>
        </w:r>
      </w:hyperlink>
    </w:p>
    <w:bookmarkEnd w:id="129"/>
    <w:bookmarkStart w:id="130" w:name="ref-casella2020"/>
    <w:p>
      <w:pPr>
        <w:pStyle w:val="Bibliography"/>
      </w:pPr>
      <w:r>
        <w:t xml:space="preserve">Casella, E., Drechsel, J., Winter, C., Benninghoff, M., Rovere, A., 2020. Accuracy of sand beach topography surveying by drones and photogrammetry. Geo-Marine Letters 40, 255–268.</w:t>
      </w:r>
    </w:p>
    <w:bookmarkEnd w:id="130"/>
    <w:bookmarkStart w:id="131"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1"/>
    <w:bookmarkStart w:id="132" w:name="ref-chefaoui2018dramatic"/>
    <w:p>
      <w:pPr>
        <w:pStyle w:val="Bibliography"/>
      </w:pPr>
      <w:r>
        <w:t xml:space="preserve">Chefaoui, R.M., Duarte, C.M., Serrão, E.A., 2018. Dramatic loss of seagrass habitat under projected climate change in the mediterranean sea. Global change biology 24, 4919–4928.</w:t>
      </w:r>
    </w:p>
    <w:bookmarkEnd w:id="132"/>
    <w:bookmarkStart w:id="13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33"/>
    <w:bookmarkStart w:id="134" w:name="ref-collin2019improving"/>
    <w:p>
      <w:pPr>
        <w:pStyle w:val="Bibliography"/>
      </w:pPr>
      <w:r>
        <w:t xml:space="preserve">Collin, A., Dubois, S., James, D., Houet, T., 2019. Improving intertidal reef mapping using UAV surface, red edge, and near-infrared data. Drones 3, 67.</w:t>
      </w:r>
    </w:p>
    <w:bookmarkEnd w:id="134"/>
    <w:bookmarkStart w:id="13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35">
        <w:r>
          <w:rPr>
            <w:rStyle w:val="Hyperlink"/>
          </w:rPr>
          <w:t xml:space="preserve">https://doi.org/10.1016/j.ecolind.2020.107018</w:t>
        </w:r>
      </w:hyperlink>
    </w:p>
    <w:bookmarkEnd w:id="136"/>
    <w:bookmarkStart w:id="138"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37">
        <w:r>
          <w:rPr>
            <w:rStyle w:val="Hyperlink"/>
          </w:rPr>
          <w:t xml:space="preserve">https://doi.org/10.1016/j.rse.2023.113554</w:t>
        </w:r>
      </w:hyperlink>
    </w:p>
    <w:bookmarkEnd w:id="138"/>
    <w:bookmarkStart w:id="140" w:name="ref-BedeGbif"/>
    <w:p>
      <w:pPr>
        <w:pStyle w:val="Bibliography"/>
      </w:pPr>
      <w:r>
        <w:t xml:space="preserve">Davies, B.F.R., Sousa, A.I., Figueira, R., Oiry, S., Gernez, P., Barillé, L., 2023b. Benthic intertidal vegetation from the tagus estuary and aveiro lagoon.</w:t>
      </w:r>
      <w:r>
        <w:t xml:space="preserve"> </w:t>
      </w:r>
      <w:hyperlink r:id="rId139">
        <w:r>
          <w:rPr>
            <w:rStyle w:val="Hyperlink"/>
          </w:rPr>
          <w:t xml:space="preserve">https://doi.org/10.15468/n4ak6x</w:t>
        </w:r>
      </w:hyperlink>
    </w:p>
    <w:bookmarkEnd w:id="140"/>
    <w:bookmarkStart w:id="141" w:name="ref-devlin2023nutrients"/>
    <w:p>
      <w:pPr>
        <w:pStyle w:val="Bibliography"/>
      </w:pPr>
      <w:r>
        <w:t xml:space="preserve">Devlin, M., Brodie, J., 2023. Nutrients and eutrophication, in: Marine Pollution–Monitoring, Management and Mitigation. Springer, pp. 75–100.</w:t>
      </w:r>
    </w:p>
    <w:bookmarkEnd w:id="141"/>
    <w:bookmarkStart w:id="143" w:name="ref-Douay2022"/>
    <w:p>
      <w:pPr>
        <w:pStyle w:val="Bibliography"/>
      </w:pPr>
      <w:r>
        <w:t xml:space="preserve">Douay, F., Verpoorter, C., Duong, G., Spilmont, N., Gevaert, F., 2022. New hyperspectral procedure to discriminate intertidal macroalgae. Remote Sensing 14.</w:t>
      </w:r>
      <w:r>
        <w:t xml:space="preserve"> </w:t>
      </w:r>
      <w:hyperlink r:id="rId142">
        <w:r>
          <w:rPr>
            <w:rStyle w:val="Hyperlink"/>
          </w:rPr>
          <w:t xml:space="preserve">https://doi.org/10.3390/rs14020346</w:t>
        </w:r>
      </w:hyperlink>
    </w:p>
    <w:bookmarkEnd w:id="143"/>
    <w:bookmarkStart w:id="14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44"/>
    <w:bookmarkStart w:id="14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45"/>
    <w:bookmarkStart w:id="14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46"/>
    <w:bookmarkStart w:id="147" w:name="ref-foden2007angiosperms"/>
    <w:p>
      <w:pPr>
        <w:pStyle w:val="Bibliography"/>
      </w:pPr>
      <w:r>
        <w:t xml:space="preserve">Foden, J., Brazier, D., 2007. Angiosperms (seagrass) within the EU water framework directive: A UK perspective. Marine Pollution Bulletin 55, 181–195.</w:t>
      </w:r>
    </w:p>
    <w:bookmarkEnd w:id="147"/>
    <w:bookmarkStart w:id="148" w:name="ref-fyfe2003spatial"/>
    <w:p>
      <w:pPr>
        <w:pStyle w:val="Bibliography"/>
      </w:pPr>
      <w:r>
        <w:t xml:space="preserve">Fyfe, S., 2003. Spatial and temporal variation in spectral reflectance: Are seagrass species spectrally distinct? Limnology and Oceanography 48, 464–479.</w:t>
      </w:r>
    </w:p>
    <w:bookmarkEnd w:id="148"/>
    <w:bookmarkStart w:id="149" w:name="ref-gardner2018"/>
    <w:p>
      <w:pPr>
        <w:pStyle w:val="Bibliography"/>
      </w:pPr>
      <w:r>
        <w:t xml:space="preserve">Gardner, R.C., Finlayson, C., 2018. Global wetland outlook: State of the world’s wetlands and their services to people. Stetson Law.</w:t>
      </w:r>
    </w:p>
    <w:bookmarkEnd w:id="149"/>
    <w:bookmarkStart w:id="150" w:name="ref-haro2023biointertidal"/>
    <w:p>
      <w:pPr>
        <w:pStyle w:val="Bibliography"/>
      </w:pPr>
      <w:r>
        <w:t xml:space="preserve">Haro, S., Jimenez-Reina, J., Bermejo, R., Morrison, L., 2023. BioIntertidal mapper software: A satellite approach for NDVI-based intertidal habitat mapping. SoftwareX 24, 101520.</w:t>
      </w:r>
    </w:p>
    <w:bookmarkEnd w:id="150"/>
    <w:bookmarkStart w:id="15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51"/>
    <w:bookmarkStart w:id="15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52"/>
    <w:bookmarkStart w:id="153" w:name="ref-howard2018fastai"/>
    <w:p>
      <w:pPr>
        <w:pStyle w:val="Bibliography"/>
      </w:pPr>
      <w:r>
        <w:t xml:space="preserve">Howard, J., others, 2018. Fastai.</w:t>
      </w:r>
    </w:p>
    <w:bookmarkEnd w:id="153"/>
    <w:bookmarkStart w:id="15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54"/>
    <w:bookmarkStart w:id="155" w:name="ref-joyce2023"/>
    <w:p>
      <w:pPr>
        <w:pStyle w:val="Bibliography"/>
      </w:pPr>
      <w:r>
        <w:t xml:space="preserve">Joyce, K.E., Fickas, K.C., Kalamandeen, M., 2023. The unique value proposition for using drones to map coastal ecosystems. Cambridge Prisms: Coastal Futures 1, e6.</w:t>
      </w:r>
    </w:p>
    <w:bookmarkEnd w:id="155"/>
    <w:bookmarkStart w:id="156" w:name="ref-kirk1994light"/>
    <w:p>
      <w:pPr>
        <w:pStyle w:val="Bibliography"/>
      </w:pPr>
      <w:r>
        <w:t xml:space="preserve">Kirk, J.T., 1994. Light and photosynthesis in aquatic ecosystems. Cambridge university press.</w:t>
      </w:r>
    </w:p>
    <w:bookmarkEnd w:id="156"/>
    <w:bookmarkStart w:id="157" w:name="ref-klemas2012remote"/>
    <w:p>
      <w:pPr>
        <w:pStyle w:val="Bibliography"/>
      </w:pPr>
      <w:r>
        <w:t xml:space="preserve">Klemas, V., 2012. Remote sensing of algal blooms: An overview with case studies. Journal of coastal research 28, 34–43.</w:t>
      </w:r>
    </w:p>
    <w:bookmarkEnd w:id="157"/>
    <w:bookmarkStart w:id="15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58"/>
    <w:bookmarkStart w:id="15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59"/>
    <w:bookmarkStart w:id="16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60"/>
    <w:bookmarkStart w:id="161" w:name="ref-louime2017sargassum"/>
    <w:p>
      <w:pPr>
        <w:pStyle w:val="Bibliography"/>
      </w:pPr>
      <w:r>
        <w:t xml:space="preserve">Louime, C., Fortune, J., Gervais, G., 2017. Sargassum invasion of coastal environments: A growing concern. American Journal of Environmental Sciences 13, 58–64.</w:t>
      </w:r>
    </w:p>
    <w:bookmarkEnd w:id="161"/>
    <w:bookmarkStart w:id="16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62"/>
    <w:bookmarkStart w:id="16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63"/>
    <w:bookmarkStart w:id="16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64">
        <w:r>
          <w:rPr>
            <w:rStyle w:val="Hyperlink"/>
          </w:rPr>
          <w:t xml:space="preserve">https://doi.org/10.1111/GCB.14108</w:t>
        </w:r>
      </w:hyperlink>
    </w:p>
    <w:bookmarkEnd w:id="165"/>
    <w:bookmarkStart w:id="16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66"/>
    <w:bookmarkStart w:id="16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67"/>
    <w:bookmarkStart w:id="168" w:name="ref-nguyen2021"/>
    <w:p>
      <w:pPr>
        <w:pStyle w:val="Bibliography"/>
      </w:pPr>
      <w:r>
        <w:t xml:space="preserve">Nguyen, H.M., Ralph, P.J., Marı́n-Guirao, L., Pernice, M., Procaccini, G., 2021. Seagrasses in an era of ocean warming: A review. Biological Reviews 96, 2009–2030.</w:t>
      </w:r>
    </w:p>
    <w:bookmarkEnd w:id="168"/>
    <w:bookmarkStart w:id="16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69"/>
    <w:bookmarkStart w:id="17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70"/>
    <w:bookmarkStart w:id="171" w:name="ref-oh2017use"/>
    <w:p>
      <w:pPr>
        <w:pStyle w:val="Bibliography"/>
      </w:pPr>
      <w:r>
        <w:t xml:space="preserve">Oh, J., Kim, D., Lee, H., 2017. Use of a drone for mapping and time series image acquisition of tidal zones. Journal of the Korean Institute of Intelligent Systems 27, 119–125.</w:t>
      </w:r>
    </w:p>
    <w:bookmarkEnd w:id="171"/>
    <w:bookmarkStart w:id="172" w:name="ref-oiry2021using"/>
    <w:p>
      <w:pPr>
        <w:pStyle w:val="Bibliography"/>
      </w:pPr>
      <w:r>
        <w:t xml:space="preserve">Oiry, S., Barillé, L., 2021. Using sentinel-2 satellite imagery to develop microphytobenthos-based water quality indices in estuaries. Ecological Indicators 121, 107184.</w:t>
      </w:r>
    </w:p>
    <w:bookmarkEnd w:id="172"/>
    <w:bookmarkStart w:id="17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73"/>
    <w:bookmarkStart w:id="17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74"/>
    <w:bookmarkStart w:id="175" w:name="ref-Pereira2013"/>
    <w:p>
      <w:pPr>
        <w:pStyle w:val="Bibliography"/>
      </w:pPr>
      <w:r>
        <w:t xml:space="preserve">Pereira, H.M., Ferrier, S., Walters, M., Geller, G.N., Jongman, R.H., Scholes, R.J., Bruford, M.W., Brummitt, N., Butchart, S.H., Cardoso, A., others, 2013. Essential biodiversity variables. Science 339, 277–278.</w:t>
      </w:r>
    </w:p>
    <w:bookmarkEnd w:id="175"/>
    <w:bookmarkStart w:id="17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76"/>
    <w:bookmarkStart w:id="17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77"/>
    <w:bookmarkStart w:id="178" w:name="ref-rasheed2011long"/>
    <w:p>
      <w:pPr>
        <w:pStyle w:val="Bibliography"/>
      </w:pPr>
      <w:r>
        <w:t xml:space="preserve">Rasheed, M.A., Unsworth, R.K., 2011. Long-term climate-associated dynamics of a tropical seagrass meadow: Implications for the future. Marine Ecology Progress Series 422, 93–103.</w:t>
      </w:r>
    </w:p>
    <w:bookmarkEnd w:id="178"/>
    <w:bookmarkStart w:id="17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79"/>
    <w:bookmarkStart w:id="18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80"/>
    <w:bookmarkStart w:id="18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81">
        <w:r>
          <w:rPr>
            <w:rStyle w:val="Hyperlink"/>
          </w:rPr>
          <w:t xml:space="preserve">https://doi.org/10.3389/fmars.2022.1004012</w:t>
        </w:r>
      </w:hyperlink>
    </w:p>
    <w:bookmarkEnd w:id="182"/>
    <w:bookmarkStart w:id="183" w:name="ref-Roman2021"/>
    <w:p>
      <w:pPr>
        <w:pStyle w:val="Bibliography"/>
      </w:pPr>
      <w:r>
        <w:t xml:space="preserve">Román, A., Tovar-Sánchez, A., Olivé, I., Navarro, G., 2021. Using a UAV-mounted multispectral camera for the monitoring of marine macrophytes. Frontiers in Marine Science 1225.</w:t>
      </w:r>
    </w:p>
    <w:bookmarkEnd w:id="183"/>
    <w:bookmarkStart w:id="184" w:name="ref-rossiter2020uav"/>
    <w:p>
      <w:pPr>
        <w:pStyle w:val="Bibliography"/>
      </w:pPr>
      <w:r>
        <w:t xml:space="preserve">Rossiter, T., Furey, T., McCarthy, T., Stengel, D.B., 2020. UAV-mounted hyperspectral mapping of intertidal macroalgae. Estuarine, Coastal and Shelf Science 242, 106789.</w:t>
      </w:r>
    </w:p>
    <w:bookmarkEnd w:id="184"/>
    <w:bookmarkStart w:id="18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85">
        <w:r>
          <w:rPr>
            <w:rStyle w:val="Hyperlink"/>
          </w:rPr>
          <w:t xml:space="preserve">https://doi.org/10.1016/j.ecoser.2022.101414</w:t>
        </w:r>
      </w:hyperlink>
    </w:p>
    <w:bookmarkEnd w:id="186"/>
    <w:bookmarkStart w:id="187" w:name="ref-schneider2012nih"/>
    <w:p>
      <w:pPr>
        <w:pStyle w:val="Bibliography"/>
      </w:pPr>
      <w:r>
        <w:t xml:space="preserve">Schneider, C.A., Rasband, W.S., Eliceiri, K.W., 2012. NIH image to ImageJ: 25 years of image analysis. Nature methods 9, 671–675.</w:t>
      </w:r>
    </w:p>
    <w:bookmarkEnd w:id="187"/>
    <w:bookmarkStart w:id="18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88">
        <w:r>
          <w:rPr>
            <w:rStyle w:val="Hyperlink"/>
          </w:rPr>
          <w:t xml:space="preserve">https://doi.org/10.3390/rs13081408</w:t>
        </w:r>
      </w:hyperlink>
    </w:p>
    <w:bookmarkEnd w:id="189"/>
    <w:bookmarkStart w:id="191" w:name="ref-Slaton2001"/>
    <w:p>
      <w:pPr>
        <w:pStyle w:val="Bibliography"/>
      </w:pPr>
      <w:r>
        <w:t xml:space="preserve">Slaton, M.R., Raymond Hunt Jr., E., Smith, W.K., 2001. Estimating near-infrared leaf reflectance from leaf structural characteristics. American Journal of Botany 88, 278–284. https://doi.org/</w:t>
      </w:r>
      <w:hyperlink r:id="rId190">
        <w:r>
          <w:rPr>
            <w:rStyle w:val="Hyperlink"/>
          </w:rPr>
          <w:t xml:space="preserve">https://doi.org/10.2307/2657019</w:t>
        </w:r>
      </w:hyperlink>
    </w:p>
    <w:bookmarkEnd w:id="191"/>
    <w:bookmarkStart w:id="19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92"/>
    <w:bookmarkStart w:id="19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193"/>
    <w:bookmarkStart w:id="19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194"/>
    <w:bookmarkStart w:id="19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195"/>
    <w:bookmarkStart w:id="19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96"/>
    <w:bookmarkStart w:id="198" w:name="ref-Traganos2018"/>
    <w:p>
      <w:pPr>
        <w:pStyle w:val="Bibliography"/>
      </w:pPr>
      <w:r>
        <w:t xml:space="preserve">Traganos, D., Reinartz, P., 2018. Mapping mediterranean seagrasses with sentinel-2 imagery. Marine Pollution Bulletin 134, 197–209.</w:t>
      </w:r>
      <w:r>
        <w:t xml:space="preserve"> </w:t>
      </w:r>
      <w:hyperlink r:id="rId197">
        <w:r>
          <w:rPr>
            <w:rStyle w:val="Hyperlink"/>
          </w:rPr>
          <w:t xml:space="preserve">https://doi.org/10.1016/j.marpolbul.2017.06.075</w:t>
        </w:r>
      </w:hyperlink>
    </w:p>
    <w:bookmarkEnd w:id="198"/>
    <w:bookmarkStart w:id="19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99"/>
    <w:bookmarkStart w:id="200" w:name="ref-unsworth2022"/>
    <w:p>
      <w:pPr>
        <w:pStyle w:val="Bibliography"/>
      </w:pPr>
      <w:r>
        <w:t xml:space="preserve">Unsworth, R.K., Cullen-Unsworth, L.C., Jones, B.L., Lilley, R.J., 2022. The planetary role of seagrass conservation. Science 377, 609–613.</w:t>
      </w:r>
    </w:p>
    <w:bookmarkEnd w:id="200"/>
    <w:bookmarkStart w:id="20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01"/>
    <w:bookmarkStart w:id="20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02"/>
    <w:bookmarkStart w:id="20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03"/>
    <w:bookmarkStart w:id="204" w:name="ref-wang2022"/>
    <w:p>
      <w:pPr>
        <w:pStyle w:val="Bibliography"/>
      </w:pPr>
      <w:r>
        <w:t xml:space="preserve">Wang, Z., Fang, Z., Liang, J., Song, X., 2022. Assessment of global habitat suitability and risk of ocean green tides. Harmful Algae 119, 102324.</w:t>
      </w:r>
    </w:p>
    <w:bookmarkEnd w:id="204"/>
    <w:bookmarkStart w:id="206" w:name="ref-WEI2015399"/>
    <w:p>
      <w:pPr>
        <w:pStyle w:val="Bibliography"/>
      </w:pPr>
      <w:r>
        <w:t xml:space="preserve">Wei, P., Lu, Z., Song, J., 2015. Variable importance analysis: A comprehensive review. Reliability Engineering and System Safety 142, 399–432. https://doi.org/</w:t>
      </w:r>
      <w:hyperlink r:id="rId205">
        <w:r>
          <w:rPr>
            <w:rStyle w:val="Hyperlink"/>
          </w:rPr>
          <w:t xml:space="preserve">https://doi.org/10.1016/j.ress.2015.05.018</w:t>
        </w:r>
      </w:hyperlink>
    </w:p>
    <w:bookmarkEnd w:id="206"/>
    <w:bookmarkStart w:id="20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07"/>
    <w:bookmarkStart w:id="20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08"/>
    <w:bookmarkStart w:id="21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09">
        <w:r>
          <w:rPr>
            <w:rStyle w:val="Hyperlink"/>
          </w:rPr>
          <w:t xml:space="preserve">https://doi.org/10.1016/j.ecolind.2021.108033</w:t>
        </w:r>
      </w:hyperlink>
    </w:p>
    <w:bookmarkEnd w:id="210"/>
    <w:bookmarkStart w:id="21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11">
        <w:r>
          <w:rPr>
            <w:rStyle w:val="Hyperlink"/>
          </w:rPr>
          <w:t xml:space="preserve">https://doi.org/10.1002/rse2.319</w:t>
        </w:r>
      </w:hyperlink>
    </w:p>
    <w:bookmarkEnd w:id="212"/>
    <w:bookmarkStart w:id="21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13">
        <w:r>
          <w:rPr>
            <w:rStyle w:val="Hyperlink"/>
          </w:rPr>
          <w:t xml:space="preserve">https://doi.org/10.1016/j.rse.2020.112020</w:t>
        </w:r>
      </w:hyperlink>
    </w:p>
    <w:bookmarkEnd w:id="214"/>
    <w:bookmarkEnd w:id="215"/>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105" Target="media/rId105.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98" Target="media/rId98.png" /><Relationship Type="http://schemas.openxmlformats.org/officeDocument/2006/relationships/image" Id="rId92" Target="media/rId92.png" /><Relationship Type="http://schemas.openxmlformats.org/officeDocument/2006/relationships/hyperlink" Id="rId211" Target="https://doi.org/10.1002/rse2.319" TargetMode="External" /><Relationship Type="http://schemas.openxmlformats.org/officeDocument/2006/relationships/hyperlink" Id="rId135" Target="https://doi.org/10.1016/j.ecolind.2020.107018" TargetMode="External" /><Relationship Type="http://schemas.openxmlformats.org/officeDocument/2006/relationships/hyperlink" Id="rId209" Target="https://doi.org/10.1016/j.ecolind.2021.108033" TargetMode="External" /><Relationship Type="http://schemas.openxmlformats.org/officeDocument/2006/relationships/hyperlink" Id="rId185" Target="https://doi.org/10.1016/j.ecoser.2022.101414" TargetMode="External" /><Relationship Type="http://schemas.openxmlformats.org/officeDocument/2006/relationships/hyperlink" Id="rId197" Target="https://doi.org/10.1016/j.marpolbul.2017.06.075" TargetMode="External" /><Relationship Type="http://schemas.openxmlformats.org/officeDocument/2006/relationships/hyperlink" Id="rId205" Target="https://doi.org/10.1016/j.ress.2015.05.018" TargetMode="External" /><Relationship Type="http://schemas.openxmlformats.org/officeDocument/2006/relationships/hyperlink" Id="rId213" Target="https://doi.org/10.1016/j.rse.2020.112020" TargetMode="External" /><Relationship Type="http://schemas.openxmlformats.org/officeDocument/2006/relationships/hyperlink" Id="rId137" Target="https://doi.org/10.1016/j.rse.2023.113554" TargetMode="External" /><Relationship Type="http://schemas.openxmlformats.org/officeDocument/2006/relationships/hyperlink" Id="rId164" Target="https://doi.org/10.1111/GCB.14108" TargetMode="External" /><Relationship Type="http://schemas.openxmlformats.org/officeDocument/2006/relationships/hyperlink" Id="rId128" Target="https://doi.org/10.1139/cjfas-2016-0137" TargetMode="External" /><Relationship Type="http://schemas.openxmlformats.org/officeDocument/2006/relationships/hyperlink" Id="rId139" Target="https://doi.org/10.15468/n4ak6x" TargetMode="External" /><Relationship Type="http://schemas.openxmlformats.org/officeDocument/2006/relationships/hyperlink" Id="rId190" Target="https://doi.org/10.2307/2657019" TargetMode="External" /><Relationship Type="http://schemas.openxmlformats.org/officeDocument/2006/relationships/hyperlink" Id="rId181" Target="https://doi.org/10.3389/fmars.2022.1004012" TargetMode="External" /><Relationship Type="http://schemas.openxmlformats.org/officeDocument/2006/relationships/hyperlink" Id="rId126" Target="https://doi.org/10.3390/RS14020307" TargetMode="External" /><Relationship Type="http://schemas.openxmlformats.org/officeDocument/2006/relationships/hyperlink" Id="rId188" Target="https://doi.org/10.3390/rs13081408" TargetMode="External" /><Relationship Type="http://schemas.openxmlformats.org/officeDocument/2006/relationships/hyperlink" Id="rId142" Target="https://doi.org/10.3390/rs14020346" TargetMode="External" /><Relationship Type="http://schemas.openxmlformats.org/officeDocument/2006/relationships/hyperlink" Id="rId120"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11" Target="https://doi.org/10.1002/rse2.319" TargetMode="External" /><Relationship Type="http://schemas.openxmlformats.org/officeDocument/2006/relationships/hyperlink" Id="rId135" Target="https://doi.org/10.1016/j.ecolind.2020.107018" TargetMode="External" /><Relationship Type="http://schemas.openxmlformats.org/officeDocument/2006/relationships/hyperlink" Id="rId209" Target="https://doi.org/10.1016/j.ecolind.2021.108033" TargetMode="External" /><Relationship Type="http://schemas.openxmlformats.org/officeDocument/2006/relationships/hyperlink" Id="rId185" Target="https://doi.org/10.1016/j.ecoser.2022.101414" TargetMode="External" /><Relationship Type="http://schemas.openxmlformats.org/officeDocument/2006/relationships/hyperlink" Id="rId197" Target="https://doi.org/10.1016/j.marpolbul.2017.06.075" TargetMode="External" /><Relationship Type="http://schemas.openxmlformats.org/officeDocument/2006/relationships/hyperlink" Id="rId205" Target="https://doi.org/10.1016/j.ress.2015.05.018" TargetMode="External" /><Relationship Type="http://schemas.openxmlformats.org/officeDocument/2006/relationships/hyperlink" Id="rId213" Target="https://doi.org/10.1016/j.rse.2020.112020" TargetMode="External" /><Relationship Type="http://schemas.openxmlformats.org/officeDocument/2006/relationships/hyperlink" Id="rId137" Target="https://doi.org/10.1016/j.rse.2023.113554" TargetMode="External" /><Relationship Type="http://schemas.openxmlformats.org/officeDocument/2006/relationships/hyperlink" Id="rId164" Target="https://doi.org/10.1111/GCB.14108" TargetMode="External" /><Relationship Type="http://schemas.openxmlformats.org/officeDocument/2006/relationships/hyperlink" Id="rId128" Target="https://doi.org/10.1139/cjfas-2016-0137" TargetMode="External" /><Relationship Type="http://schemas.openxmlformats.org/officeDocument/2006/relationships/hyperlink" Id="rId139" Target="https://doi.org/10.15468/n4ak6x" TargetMode="External" /><Relationship Type="http://schemas.openxmlformats.org/officeDocument/2006/relationships/hyperlink" Id="rId190" Target="https://doi.org/10.2307/2657019" TargetMode="External" /><Relationship Type="http://schemas.openxmlformats.org/officeDocument/2006/relationships/hyperlink" Id="rId181" Target="https://doi.org/10.3389/fmars.2022.1004012" TargetMode="External" /><Relationship Type="http://schemas.openxmlformats.org/officeDocument/2006/relationships/hyperlink" Id="rId126" Target="https://doi.org/10.3390/RS14020307" TargetMode="External" /><Relationship Type="http://schemas.openxmlformats.org/officeDocument/2006/relationships/hyperlink" Id="rId188" Target="https://doi.org/10.3390/rs13081408" TargetMode="External" /><Relationship Type="http://schemas.openxmlformats.org/officeDocument/2006/relationships/hyperlink" Id="rId142" Target="https://doi.org/10.3390/rs14020346" TargetMode="External" /><Relationship Type="http://schemas.openxmlformats.org/officeDocument/2006/relationships/hyperlink" Id="rId120"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2024-05-03T10:14:47Z</dcterms:created>
  <dcterms:modified xsi:type="dcterms:W3CDTF">2024-05-03T10:14:47Z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2024-05-03</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